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0F178" w14:textId="5B84CB65"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t>PROVA:</w:t>
      </w:r>
      <w:r>
        <w:rPr>
          <w:rFonts w:ascii="Calibri" w:hAnsi="Calibri" w:cs="Calibri"/>
          <w:sz w:val="22"/>
          <w:szCs w:val="22"/>
        </w:rPr>
        <w:br/>
      </w:r>
      <w:r>
        <w:rPr>
          <w:rFonts w:ascii="Calibri" w:hAnsi="Calibri" w:cs="Calibri"/>
          <w:sz w:val="22"/>
          <w:szCs w:val="22"/>
        </w:rPr>
        <w:br/>
        <w:t xml:space="preserve">-rischi azionari 5 borse di paesi sviluppati e 5 paesi in via di sviluppo; </w:t>
      </w:r>
      <w:r>
        <w:rPr>
          <w:rFonts w:ascii="Calibri" w:hAnsi="Calibri" w:cs="Calibri"/>
          <w:sz w:val="22"/>
          <w:szCs w:val="22"/>
        </w:rPr>
        <w:br/>
        <w:t xml:space="preserve">-campione di società </w:t>
      </w:r>
      <w:r w:rsidR="00725BD7">
        <w:rPr>
          <w:rFonts w:ascii="Calibri" w:hAnsi="Calibri" w:cs="Calibri"/>
          <w:sz w:val="22"/>
          <w:szCs w:val="22"/>
        </w:rPr>
        <w:t>particolarmente</w:t>
      </w:r>
      <w:r>
        <w:rPr>
          <w:rFonts w:ascii="Calibri" w:hAnsi="Calibri" w:cs="Calibri"/>
          <w:sz w:val="22"/>
          <w:szCs w:val="22"/>
        </w:rPr>
        <w:t xml:space="preserve"> toccate dall'impresa finanziaria (aereo disastri penalizzate dalla crisi o società operanti nel turismo versus farmaceutiche/zoom alta tecnologia).</w:t>
      </w:r>
      <w:r>
        <w:rPr>
          <w:rFonts w:ascii="Calibri" w:hAnsi="Calibri" w:cs="Calibri"/>
          <w:sz w:val="22"/>
          <w:szCs w:val="22"/>
        </w:rPr>
        <w:br/>
        <w:t>quotazioni giornaliere; COVID.</w:t>
      </w:r>
      <w:r>
        <w:rPr>
          <w:rFonts w:ascii="Calibri" w:hAnsi="Calibri" w:cs="Calibri"/>
          <w:sz w:val="22"/>
          <w:szCs w:val="22"/>
        </w:rPr>
        <w:br/>
      </w:r>
      <w:r>
        <w:rPr>
          <w:rFonts w:ascii="Calibri" w:hAnsi="Calibri" w:cs="Calibri"/>
          <w:sz w:val="22"/>
          <w:szCs w:val="22"/>
        </w:rPr>
        <w:br/>
      </w:r>
      <w:r>
        <w:rPr>
          <w:rFonts w:ascii="Calibri" w:hAnsi="Calibri" w:cs="Calibri"/>
          <w:sz w:val="22"/>
          <w:szCs w:val="22"/>
        </w:rPr>
        <w:br/>
        <w:t xml:space="preserve">- Rischio </w:t>
      </w:r>
      <w:proofErr w:type="gramStart"/>
      <w:r>
        <w:rPr>
          <w:rFonts w:ascii="Calibri" w:hAnsi="Calibri" w:cs="Calibri"/>
          <w:sz w:val="22"/>
          <w:szCs w:val="22"/>
        </w:rPr>
        <w:t>commodities ?</w:t>
      </w:r>
      <w:proofErr w:type="gramEnd"/>
      <w:r>
        <w:rPr>
          <w:rFonts w:ascii="Calibri" w:hAnsi="Calibri" w:cs="Calibri"/>
          <w:sz w:val="22"/>
          <w:szCs w:val="22"/>
        </w:rPr>
        <w:t xml:space="preserve"> </w:t>
      </w:r>
      <w:r>
        <w:rPr>
          <w:rFonts w:ascii="Calibri" w:hAnsi="Calibri" w:cs="Calibri"/>
          <w:sz w:val="22"/>
          <w:szCs w:val="22"/>
        </w:rPr>
        <w:br/>
      </w:r>
      <w:r>
        <w:rPr>
          <w:rFonts w:ascii="Calibri" w:hAnsi="Calibri" w:cs="Calibri"/>
          <w:sz w:val="22"/>
          <w:szCs w:val="22"/>
        </w:rPr>
        <w:br/>
        <w:t>-</w:t>
      </w:r>
      <w:r>
        <w:rPr>
          <w:rFonts w:ascii="Calibri" w:hAnsi="Calibri" w:cs="Calibri"/>
          <w:sz w:val="22"/>
          <w:szCs w:val="22"/>
        </w:rPr>
        <w:br/>
        <w:t xml:space="preserve">dal 2006 le quotazioni giornaliere di commodities; </w:t>
      </w:r>
    </w:p>
    <w:p w14:paraId="0C8C3DF2"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t>PETROLIO, GAS, METALLI (Ferro o alluminio o rame). NO ORO.</w:t>
      </w:r>
    </w:p>
    <w:p w14:paraId="7B312CF9"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t>----Petrolio BRENT;</w:t>
      </w:r>
      <w:r>
        <w:rPr>
          <w:rFonts w:ascii="Calibri" w:hAnsi="Calibri" w:cs="Calibri"/>
          <w:sz w:val="22"/>
          <w:szCs w:val="22"/>
        </w:rPr>
        <w:br/>
        <w:t>----Platino;</w:t>
      </w:r>
      <w:r>
        <w:rPr>
          <w:rFonts w:ascii="Calibri" w:hAnsi="Calibri" w:cs="Calibri"/>
          <w:sz w:val="22"/>
          <w:szCs w:val="22"/>
        </w:rPr>
        <w:br/>
        <w:t>----GAS NATURALE;</w:t>
      </w:r>
      <w:r>
        <w:rPr>
          <w:rFonts w:ascii="Calibri" w:hAnsi="Calibri" w:cs="Calibri"/>
          <w:sz w:val="22"/>
          <w:szCs w:val="22"/>
        </w:rPr>
        <w:br/>
        <w:t>----Caffè</w:t>
      </w:r>
      <w:r>
        <w:rPr>
          <w:rFonts w:ascii="Calibri" w:hAnsi="Calibri" w:cs="Calibri"/>
          <w:sz w:val="22"/>
          <w:szCs w:val="22"/>
        </w:rPr>
        <w:br/>
        <w:t>----Alluminio/zinco/nichel</w:t>
      </w:r>
      <w:r>
        <w:rPr>
          <w:rFonts w:ascii="Calibri" w:hAnsi="Calibri" w:cs="Calibri"/>
          <w:sz w:val="22"/>
          <w:szCs w:val="22"/>
        </w:rPr>
        <w:br/>
        <w:t>----</w:t>
      </w:r>
      <w:r>
        <w:rPr>
          <w:rFonts w:ascii="Calibri" w:hAnsi="Calibri" w:cs="Calibri"/>
          <w:sz w:val="22"/>
          <w:szCs w:val="22"/>
        </w:rPr>
        <w:br/>
      </w:r>
      <w:r>
        <w:rPr>
          <w:rFonts w:ascii="Calibri" w:hAnsi="Calibri" w:cs="Calibri"/>
          <w:sz w:val="22"/>
          <w:szCs w:val="22"/>
        </w:rPr>
        <w:br/>
      </w:r>
      <w:r>
        <w:rPr>
          <w:rFonts w:ascii="Calibri" w:hAnsi="Calibri" w:cs="Calibri"/>
          <w:sz w:val="22"/>
          <w:szCs w:val="22"/>
        </w:rPr>
        <w:br/>
        <w:t>crisi finanziaria; crisi debito sovrano; crisi covid; crisi dell'ucraina geopolitiche. Fino al primo trimestre del 2022. Effetto degli aiuti che stanno distribuendo per il costo dell'energia elettrica --&gt; anche il pane verrebbe razionato (MASTER DRIVER di inflazione). GAS</w:t>
      </w:r>
    </w:p>
    <w:p w14:paraId="28975846" w14:textId="6ED07B39"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br/>
      </w:r>
      <w:r w:rsidRPr="0092158A">
        <w:rPr>
          <w:rFonts w:ascii="Calibri" w:hAnsi="Calibri" w:cs="Calibri"/>
          <w:sz w:val="22"/>
          <w:szCs w:val="22"/>
          <w:highlight w:val="yellow"/>
        </w:rPr>
        <w:t xml:space="preserve">Scaricare l'inflazione giornaliera degli USA, INGHILTERRA, AREA EURO. Value </w:t>
      </w:r>
      <w:proofErr w:type="spellStart"/>
      <w:r w:rsidRPr="0092158A">
        <w:rPr>
          <w:rFonts w:ascii="Calibri" w:hAnsi="Calibri" w:cs="Calibri"/>
          <w:sz w:val="22"/>
          <w:szCs w:val="22"/>
          <w:highlight w:val="yellow"/>
        </w:rPr>
        <w:t>at</w:t>
      </w:r>
      <w:proofErr w:type="spellEnd"/>
      <w:r w:rsidRPr="0092158A">
        <w:rPr>
          <w:rFonts w:ascii="Calibri" w:hAnsi="Calibri" w:cs="Calibri"/>
          <w:sz w:val="22"/>
          <w:szCs w:val="22"/>
          <w:highlight w:val="yellow"/>
        </w:rPr>
        <w:t xml:space="preserve"> risk. Trattiamo l'inflazione come se </w:t>
      </w:r>
      <w:r w:rsidR="00EF2DEA" w:rsidRPr="0092158A">
        <w:rPr>
          <w:rFonts w:ascii="Calibri" w:hAnsi="Calibri" w:cs="Calibri"/>
          <w:sz w:val="22"/>
          <w:szCs w:val="22"/>
          <w:highlight w:val="yellow"/>
        </w:rPr>
        <w:t>fosse</w:t>
      </w:r>
      <w:r w:rsidRPr="0092158A">
        <w:rPr>
          <w:rFonts w:ascii="Calibri" w:hAnsi="Calibri" w:cs="Calibri"/>
          <w:sz w:val="22"/>
          <w:szCs w:val="22"/>
          <w:highlight w:val="yellow"/>
        </w:rPr>
        <w:t xml:space="preserve"> un asset finanziario.</w:t>
      </w:r>
      <w:r>
        <w:rPr>
          <w:rFonts w:ascii="Calibri" w:hAnsi="Calibri" w:cs="Calibri"/>
          <w:sz w:val="22"/>
          <w:szCs w:val="22"/>
        </w:rPr>
        <w:t xml:space="preserve"> </w:t>
      </w:r>
      <w:r>
        <w:rPr>
          <w:rFonts w:ascii="Calibri" w:hAnsi="Calibri" w:cs="Calibri"/>
          <w:sz w:val="22"/>
          <w:szCs w:val="22"/>
        </w:rPr>
        <w:br/>
      </w:r>
      <w:r>
        <w:rPr>
          <w:rFonts w:ascii="Calibri" w:hAnsi="Calibri" w:cs="Calibri"/>
          <w:sz w:val="22"/>
          <w:szCs w:val="22"/>
        </w:rPr>
        <w:br/>
        <w:t>"Varietà di crisi e prezzi delle commodities".</w:t>
      </w:r>
      <w:r>
        <w:rPr>
          <w:rFonts w:ascii="Calibri" w:hAnsi="Calibri" w:cs="Calibri"/>
          <w:sz w:val="22"/>
          <w:szCs w:val="22"/>
        </w:rPr>
        <w:br/>
        <w:t>Prezzo di equilibrio a livello mondiale.</w:t>
      </w:r>
      <w:r>
        <w:rPr>
          <w:rFonts w:ascii="Calibri" w:hAnsi="Calibri" w:cs="Calibri"/>
          <w:sz w:val="22"/>
          <w:szCs w:val="22"/>
        </w:rPr>
        <w:br/>
      </w:r>
      <w:r>
        <w:rPr>
          <w:rFonts w:ascii="Calibri" w:hAnsi="Calibri" w:cs="Calibri"/>
          <w:sz w:val="22"/>
          <w:szCs w:val="22"/>
        </w:rPr>
        <w:br/>
        <w:t>Attenzione alla valuta di quotazione. E quindi tasso di cambio. (</w:t>
      </w:r>
      <w:proofErr w:type="spellStart"/>
      <w:r>
        <w:rPr>
          <w:rFonts w:ascii="Calibri" w:hAnsi="Calibri" w:cs="Calibri"/>
          <w:sz w:val="22"/>
          <w:szCs w:val="22"/>
        </w:rPr>
        <w:t>riesprimendo</w:t>
      </w:r>
      <w:proofErr w:type="spellEnd"/>
      <w:r>
        <w:rPr>
          <w:rFonts w:ascii="Calibri" w:hAnsi="Calibri" w:cs="Calibri"/>
          <w:sz w:val="22"/>
          <w:szCs w:val="22"/>
        </w:rPr>
        <w:t xml:space="preserve"> tutto in dollari).</w:t>
      </w:r>
      <w:r>
        <w:rPr>
          <w:rFonts w:ascii="Calibri" w:hAnsi="Calibri" w:cs="Calibri"/>
          <w:sz w:val="22"/>
          <w:szCs w:val="22"/>
        </w:rPr>
        <w:br/>
        <w:t xml:space="preserve">VaR = </w:t>
      </w:r>
      <w:proofErr w:type="spellStart"/>
      <w:r>
        <w:rPr>
          <w:rFonts w:ascii="Calibri" w:hAnsi="Calibri" w:cs="Calibri"/>
          <w:sz w:val="22"/>
          <w:szCs w:val="22"/>
        </w:rPr>
        <w:t>excel</w:t>
      </w:r>
      <w:proofErr w:type="spellEnd"/>
      <w:r>
        <w:rPr>
          <w:rFonts w:ascii="Calibri" w:hAnsi="Calibri" w:cs="Calibri"/>
          <w:sz w:val="22"/>
          <w:szCs w:val="22"/>
        </w:rPr>
        <w:t xml:space="preserve">; </w:t>
      </w:r>
      <w:r>
        <w:rPr>
          <w:rFonts w:ascii="Calibri" w:hAnsi="Calibri" w:cs="Calibri"/>
          <w:sz w:val="22"/>
          <w:szCs w:val="22"/>
        </w:rPr>
        <w:br/>
        <w:t> </w:t>
      </w:r>
    </w:p>
    <w:p w14:paraId="51224D2C"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t> </w:t>
      </w:r>
    </w:p>
    <w:p w14:paraId="2BF75F5C"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t> </w:t>
      </w:r>
    </w:p>
    <w:p w14:paraId="4C12261C"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t xml:space="preserve">Capitolo generale rischio di mercato descrittivo individuando lo strumento che serve che è Value </w:t>
      </w:r>
      <w:proofErr w:type="spellStart"/>
      <w:r>
        <w:rPr>
          <w:rFonts w:ascii="Calibri" w:hAnsi="Calibri" w:cs="Calibri"/>
          <w:sz w:val="22"/>
          <w:szCs w:val="22"/>
        </w:rPr>
        <w:t>at</w:t>
      </w:r>
      <w:proofErr w:type="spellEnd"/>
      <w:r>
        <w:rPr>
          <w:rFonts w:ascii="Calibri" w:hAnsi="Calibri" w:cs="Calibri"/>
          <w:sz w:val="22"/>
          <w:szCs w:val="22"/>
        </w:rPr>
        <w:t xml:space="preserve"> RISK definizione parametrico e non;</w:t>
      </w:r>
      <w:r>
        <w:rPr>
          <w:rFonts w:ascii="Calibri" w:hAnsi="Calibri" w:cs="Calibri"/>
          <w:sz w:val="22"/>
          <w:szCs w:val="22"/>
        </w:rPr>
        <w:br/>
        <w:t>Capitolo grande con varie sezioni commodities che abbiamo scelto (</w:t>
      </w:r>
      <w:proofErr w:type="spellStart"/>
      <w:r>
        <w:rPr>
          <w:rFonts w:ascii="Calibri" w:hAnsi="Calibri" w:cs="Calibri"/>
          <w:sz w:val="22"/>
          <w:szCs w:val="22"/>
        </w:rPr>
        <w:t>economics</w:t>
      </w:r>
      <w:proofErr w:type="spellEnd"/>
      <w:r>
        <w:rPr>
          <w:rFonts w:ascii="Calibri" w:hAnsi="Calibri" w:cs="Calibri"/>
          <w:sz w:val="22"/>
          <w:szCs w:val="22"/>
        </w:rPr>
        <w:t xml:space="preserve"> del mercato del petrolio); (SOPRATTUTTO METALLI e parte energetica.</w:t>
      </w:r>
      <w:r>
        <w:rPr>
          <w:rFonts w:ascii="Calibri" w:hAnsi="Calibri" w:cs="Calibri"/>
          <w:sz w:val="22"/>
          <w:szCs w:val="22"/>
        </w:rPr>
        <w:br/>
        <w:t xml:space="preserve">Capitolo sui dati fonti </w:t>
      </w:r>
      <w:r>
        <w:rPr>
          <w:rFonts w:ascii="Calibri" w:hAnsi="Calibri" w:cs="Calibri"/>
          <w:sz w:val="22"/>
          <w:szCs w:val="22"/>
        </w:rPr>
        <w:br/>
        <w:t xml:space="preserve">Opportuno per ciascuna </w:t>
      </w:r>
      <w:proofErr w:type="spellStart"/>
      <w:r>
        <w:rPr>
          <w:rFonts w:ascii="Calibri" w:hAnsi="Calibri" w:cs="Calibri"/>
          <w:sz w:val="22"/>
          <w:szCs w:val="22"/>
        </w:rPr>
        <w:t>commotitivies</w:t>
      </w:r>
      <w:proofErr w:type="spellEnd"/>
      <w:r>
        <w:rPr>
          <w:rFonts w:ascii="Calibri" w:hAnsi="Calibri" w:cs="Calibri"/>
          <w:sz w:val="22"/>
          <w:szCs w:val="22"/>
        </w:rPr>
        <w:t xml:space="preserve"> stimare un random </w:t>
      </w:r>
      <w:proofErr w:type="spellStart"/>
      <w:r>
        <w:rPr>
          <w:rFonts w:ascii="Calibri" w:hAnsi="Calibri" w:cs="Calibri"/>
          <w:sz w:val="22"/>
          <w:szCs w:val="22"/>
        </w:rPr>
        <w:t>walk</w:t>
      </w:r>
      <w:proofErr w:type="spellEnd"/>
      <w:r>
        <w:rPr>
          <w:rFonts w:ascii="Calibri" w:hAnsi="Calibri" w:cs="Calibri"/>
          <w:sz w:val="22"/>
          <w:szCs w:val="22"/>
        </w:rPr>
        <w:t xml:space="preserve"> per valutare se il mercato di quella </w:t>
      </w:r>
      <w:proofErr w:type="spellStart"/>
      <w:r>
        <w:rPr>
          <w:rFonts w:ascii="Calibri" w:hAnsi="Calibri" w:cs="Calibri"/>
          <w:sz w:val="22"/>
          <w:szCs w:val="22"/>
        </w:rPr>
        <w:t>commoditivies</w:t>
      </w:r>
      <w:proofErr w:type="spellEnd"/>
      <w:r>
        <w:rPr>
          <w:rFonts w:ascii="Calibri" w:hAnsi="Calibri" w:cs="Calibri"/>
          <w:sz w:val="22"/>
          <w:szCs w:val="22"/>
        </w:rPr>
        <w:t xml:space="preserve"> è efficiente.</w:t>
      </w:r>
      <w:r>
        <w:rPr>
          <w:rFonts w:ascii="Calibri" w:hAnsi="Calibri" w:cs="Calibri"/>
          <w:sz w:val="22"/>
          <w:szCs w:val="22"/>
        </w:rPr>
        <w:br/>
        <w:t xml:space="preserve">Capitolo su valutazione dei rischi di mercato </w:t>
      </w:r>
      <w:proofErr w:type="spellStart"/>
      <w:r>
        <w:rPr>
          <w:rFonts w:ascii="Calibri" w:hAnsi="Calibri" w:cs="Calibri"/>
          <w:sz w:val="22"/>
          <w:szCs w:val="22"/>
        </w:rPr>
        <w:t>commoditives</w:t>
      </w:r>
      <w:proofErr w:type="spellEnd"/>
      <w:r>
        <w:rPr>
          <w:rFonts w:ascii="Calibri" w:hAnsi="Calibri" w:cs="Calibri"/>
          <w:sz w:val="22"/>
          <w:szCs w:val="22"/>
        </w:rPr>
        <w:t xml:space="preserve"> per </w:t>
      </w:r>
      <w:proofErr w:type="spellStart"/>
      <w:r>
        <w:rPr>
          <w:rFonts w:ascii="Calibri" w:hAnsi="Calibri" w:cs="Calibri"/>
          <w:sz w:val="22"/>
          <w:szCs w:val="22"/>
        </w:rPr>
        <w:t>commoditives</w:t>
      </w:r>
      <w:proofErr w:type="spellEnd"/>
      <w:r>
        <w:rPr>
          <w:rFonts w:ascii="Calibri" w:hAnsi="Calibri" w:cs="Calibri"/>
          <w:sz w:val="22"/>
          <w:szCs w:val="22"/>
        </w:rPr>
        <w:t xml:space="preserve"> spacchettando l'intero periodo </w:t>
      </w:r>
      <w:r>
        <w:rPr>
          <w:rFonts w:ascii="Calibri" w:hAnsi="Calibri" w:cs="Calibri"/>
          <w:sz w:val="22"/>
          <w:szCs w:val="22"/>
        </w:rPr>
        <w:br/>
        <w:t xml:space="preserve">Si calcola il VaR fino al giugno 2007/ poi da 2009 a 2011/ periodo intermedio </w:t>
      </w:r>
      <w:proofErr w:type="spellStart"/>
      <w:r>
        <w:rPr>
          <w:rFonts w:ascii="Calibri" w:hAnsi="Calibri" w:cs="Calibri"/>
          <w:sz w:val="22"/>
          <w:szCs w:val="22"/>
        </w:rPr>
        <w:t>pre</w:t>
      </w:r>
      <w:proofErr w:type="spellEnd"/>
      <w:r>
        <w:rPr>
          <w:rFonts w:ascii="Calibri" w:hAnsi="Calibri" w:cs="Calibri"/>
          <w:sz w:val="22"/>
          <w:szCs w:val="22"/>
        </w:rPr>
        <w:t xml:space="preserve"> covid/ covid 2020-2021 / 2021- primo trimestre 2022 uscita covid e decollo inflazione (da offerta e domanda) + rischi geopolitici. Ci sarebbe riduzione dell'offerta sia di gas che di petrolio. </w:t>
      </w:r>
      <w:r>
        <w:rPr>
          <w:rFonts w:ascii="Calibri" w:hAnsi="Calibri" w:cs="Calibri"/>
          <w:sz w:val="22"/>
          <w:szCs w:val="22"/>
        </w:rPr>
        <w:br/>
        <w:t xml:space="preserve">RISCHI FINANZIARI GEOPOLITICI SULLE COMMODITIES. Rischi finanziari </w:t>
      </w:r>
      <w:proofErr w:type="spellStart"/>
      <w:r>
        <w:rPr>
          <w:rFonts w:ascii="Calibri" w:hAnsi="Calibri" w:cs="Calibri"/>
          <w:sz w:val="22"/>
          <w:szCs w:val="22"/>
        </w:rPr>
        <w:t>commmodities</w:t>
      </w:r>
      <w:proofErr w:type="spellEnd"/>
      <w:r>
        <w:rPr>
          <w:rFonts w:ascii="Calibri" w:hAnsi="Calibri" w:cs="Calibri"/>
          <w:sz w:val="22"/>
          <w:szCs w:val="22"/>
        </w:rPr>
        <w:t>: dinamica dei rischi nell'ambito di varie crisi.</w:t>
      </w:r>
    </w:p>
    <w:p w14:paraId="6F4CEA45"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t> </w:t>
      </w:r>
    </w:p>
    <w:p w14:paraId="74C43AB2"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t> </w:t>
      </w:r>
    </w:p>
    <w:p w14:paraId="270CB294"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t> </w:t>
      </w:r>
    </w:p>
    <w:p w14:paraId="2D2BB19B"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lastRenderedPageBreak/>
        <w:t>Date/colonna quotazione giornaliera/ colonna tassi di cambio se non sono in dollari.</w:t>
      </w:r>
      <w:r>
        <w:rPr>
          <w:rFonts w:ascii="Calibri" w:hAnsi="Calibri" w:cs="Calibri"/>
          <w:sz w:val="22"/>
          <w:szCs w:val="22"/>
        </w:rPr>
        <w:br/>
        <w:t> </w:t>
      </w:r>
    </w:p>
    <w:p w14:paraId="004958FC"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t xml:space="preserve">Matrice di correlazione; Durante le crisi aumentano; </w:t>
      </w:r>
    </w:p>
    <w:p w14:paraId="18E76E93"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t> </w:t>
      </w:r>
    </w:p>
    <w:p w14:paraId="0189CBA2" w14:textId="77777777" w:rsidR="00CC3897" w:rsidRDefault="00CC3897" w:rsidP="00CC3897">
      <w:pPr>
        <w:pStyle w:val="NormaleWeb"/>
        <w:spacing w:before="0" w:beforeAutospacing="0" w:after="0" w:afterAutospacing="0"/>
        <w:rPr>
          <w:rFonts w:ascii="Calibri" w:hAnsi="Calibri" w:cs="Calibri"/>
          <w:sz w:val="22"/>
          <w:szCs w:val="22"/>
        </w:rPr>
      </w:pPr>
      <w:r>
        <w:rPr>
          <w:rFonts w:ascii="Calibri" w:hAnsi="Calibri" w:cs="Calibri"/>
          <w:sz w:val="22"/>
          <w:szCs w:val="22"/>
        </w:rPr>
        <w:br/>
      </w:r>
      <w:r>
        <w:rPr>
          <w:rFonts w:ascii="Calibri" w:hAnsi="Calibri" w:cs="Calibri"/>
          <w:sz w:val="22"/>
          <w:szCs w:val="22"/>
        </w:rPr>
        <w:br/>
        <w:t>-------------------------------------------------------------</w:t>
      </w:r>
      <w:r>
        <w:rPr>
          <w:rFonts w:ascii="Calibri" w:hAnsi="Calibri" w:cs="Calibri"/>
          <w:sz w:val="22"/>
          <w:szCs w:val="22"/>
        </w:rPr>
        <w:br/>
        <w:t> </w:t>
      </w:r>
    </w:p>
    <w:p w14:paraId="27AEF7EB" w14:textId="5445A1F4" w:rsidR="00026AA9" w:rsidRDefault="00026AA9" w:rsidP="00CC3897"/>
    <w:p w14:paraId="7BEC7BFE" w14:textId="77777777" w:rsidR="00505EB4" w:rsidRDefault="00505EB4" w:rsidP="00505EB4">
      <w:pPr>
        <w:rPr>
          <w:rFonts w:ascii="Merriweather" w:hAnsi="Merriweather"/>
          <w:color w:val="000000"/>
        </w:rPr>
      </w:pPr>
      <w:r>
        <w:rPr>
          <w:rFonts w:ascii="Merriweather" w:hAnsi="Merriweather"/>
          <w:color w:val="000000"/>
        </w:rPr>
        <w:t>Il </w:t>
      </w:r>
      <w:r>
        <w:rPr>
          <w:rStyle w:val="Enfasigrassetto"/>
          <w:rFonts w:ascii="Merriweather" w:hAnsi="Merriweather"/>
          <w:color w:val="000000"/>
        </w:rPr>
        <w:t>mercato delle</w:t>
      </w:r>
      <w:r>
        <w:rPr>
          <w:rStyle w:val="Enfasicorsivo"/>
          <w:rFonts w:ascii="Merriweather" w:hAnsi="Merriweather"/>
          <w:b/>
          <w:bCs/>
          <w:color w:val="000000"/>
        </w:rPr>
        <w:t> commodities</w:t>
      </w:r>
      <w:r>
        <w:rPr>
          <w:rStyle w:val="Enfasicorsivo"/>
          <w:rFonts w:ascii="Merriweather" w:hAnsi="Merriweather"/>
          <w:color w:val="000000"/>
        </w:rPr>
        <w:t> </w:t>
      </w:r>
      <w:r>
        <w:rPr>
          <w:rFonts w:ascii="Merriweather" w:hAnsi="Merriweather"/>
          <w:color w:val="000000"/>
        </w:rPr>
        <w:t>a livello globale (dalle derrate alimentari, ai minerali, fino agli idrocarburi) è generalmente caratterizzato da un’</w:t>
      </w:r>
      <w:r>
        <w:rPr>
          <w:rStyle w:val="Enfasigrassetto"/>
          <w:rFonts w:ascii="Merriweather" w:hAnsi="Merriweather"/>
          <w:color w:val="000000"/>
        </w:rPr>
        <w:t>elevata volatilità dei prezzi.</w:t>
      </w:r>
      <w:r>
        <w:rPr>
          <w:rFonts w:ascii="Merriweather" w:hAnsi="Merriweather"/>
          <w:color w:val="000000"/>
        </w:rPr>
        <w:t> Ciò ha spinto gli operatori finanziari a sviluppare prodotti di copertura (i cosiddetti derivati: futures, options etc.) che permettono alle aziende di proteggersi dai rischi di forti oscillazioni.</w:t>
      </w:r>
      <w:r>
        <w:rPr>
          <w:rFonts w:ascii="Merriweather" w:hAnsi="Merriweather"/>
          <w:color w:val="000000"/>
        </w:rPr>
        <w:br/>
        <w:t>Questi prodotti finanziari, tuttavia, sono diventati oggetto di </w:t>
      </w:r>
      <w:r>
        <w:rPr>
          <w:rStyle w:val="Enfasigrassetto"/>
          <w:rFonts w:ascii="Merriweather" w:hAnsi="Merriweather"/>
          <w:color w:val="000000"/>
        </w:rPr>
        <w:t>operazioni speculative su larga scala</w:t>
      </w:r>
      <w:r>
        <w:rPr>
          <w:rFonts w:ascii="Merriweather" w:hAnsi="Merriweather"/>
          <w:color w:val="000000"/>
        </w:rPr>
        <w:t> e, anche se non è facile quantificarne l’impatto, questa “finanziarizzazione” sembra aver contributo ad </w:t>
      </w:r>
      <w:r>
        <w:rPr>
          <w:rStyle w:val="Enfasigrassetto"/>
          <w:rFonts w:ascii="Merriweather" w:hAnsi="Merriweather"/>
          <w:color w:val="000000"/>
        </w:rPr>
        <w:t>accrescere ulteriormente la volatilità</w:t>
      </w:r>
      <w:r>
        <w:rPr>
          <w:rFonts w:ascii="Merriweather" w:hAnsi="Merriweather"/>
          <w:color w:val="000000"/>
        </w:rPr>
        <w:t> nel mercato delle </w:t>
      </w:r>
      <w:r>
        <w:rPr>
          <w:rStyle w:val="Enfasicorsivo"/>
          <w:rFonts w:ascii="Merriweather" w:hAnsi="Merriweather"/>
          <w:color w:val="000000"/>
        </w:rPr>
        <w:t>commodities</w:t>
      </w:r>
      <w:r>
        <w:rPr>
          <w:rFonts w:ascii="Merriweather" w:hAnsi="Merriweather"/>
          <w:color w:val="000000"/>
        </w:rPr>
        <w:t>.</w:t>
      </w:r>
    </w:p>
    <w:p w14:paraId="3A5DC8EB" w14:textId="77777777" w:rsidR="00505EB4" w:rsidRDefault="00505EB4" w:rsidP="00505EB4">
      <w:pPr>
        <w:rPr>
          <w:rFonts w:ascii="Merriweather" w:hAnsi="Merriweather"/>
          <w:color w:val="000000"/>
        </w:rPr>
      </w:pPr>
    </w:p>
    <w:p w14:paraId="3AF1ACC6" w14:textId="77777777" w:rsidR="00505EB4" w:rsidRDefault="00505EB4" w:rsidP="00505EB4">
      <w:pPr>
        <w:rPr>
          <w:rFonts w:ascii="Merriweather" w:hAnsi="Merriweather"/>
          <w:color w:val="000000"/>
        </w:rPr>
      </w:pPr>
    </w:p>
    <w:p w14:paraId="647DF3C1" w14:textId="77777777" w:rsidR="00505EB4" w:rsidRDefault="00505EB4" w:rsidP="00505EB4">
      <w:pPr>
        <w:rPr>
          <w:rFonts w:ascii="Merriweather" w:hAnsi="Merriweather"/>
          <w:color w:val="000000"/>
        </w:rPr>
      </w:pPr>
      <w:r>
        <w:rPr>
          <w:rFonts w:ascii="Merriweather" w:hAnsi="Merriweather"/>
          <w:color w:val="000000"/>
        </w:rPr>
        <w:t>COSA SONO LE COMMODITIES e come si classificano.</w:t>
      </w:r>
    </w:p>
    <w:p w14:paraId="4EFD2C6C" w14:textId="33C1C98C" w:rsidR="00505EB4" w:rsidRDefault="00505EB4" w:rsidP="00505EB4">
      <w:pPr>
        <w:rPr>
          <w:rFonts w:ascii="Merriweather" w:hAnsi="Merriweather"/>
          <w:color w:val="000000"/>
        </w:rPr>
      </w:pPr>
      <w:r w:rsidRPr="00652164">
        <w:rPr>
          <w:rFonts w:ascii="Merriweather" w:hAnsi="Merriweather"/>
          <w:color w:val="000000"/>
        </w:rPr>
        <w:t xml:space="preserve">FUTURES </w:t>
      </w:r>
      <w:r w:rsidRPr="00652164">
        <w:rPr>
          <w:rFonts w:ascii="Merriweather" w:hAnsi="Merriweather"/>
          <w:color w:val="000000"/>
        </w:rPr>
        <w:sym w:font="Wingdings" w:char="F0E0"/>
      </w:r>
      <w:r w:rsidRPr="00652164">
        <w:rPr>
          <w:rFonts w:ascii="Merriweather" w:hAnsi="Merriweather"/>
          <w:color w:val="000000"/>
        </w:rPr>
        <w:t xml:space="preserve"> RISK MANAGEMENT PER COMMODITIES,</w:t>
      </w:r>
      <w:r>
        <w:rPr>
          <w:rFonts w:ascii="Merriweather" w:hAnsi="Merriweather"/>
          <w:color w:val="000000"/>
        </w:rPr>
        <w:t xml:space="preserve"> (tramite strumenti futures e opzioni ecc…)</w:t>
      </w:r>
      <w:r w:rsidRPr="00652164">
        <w:rPr>
          <w:rFonts w:ascii="Merriweather" w:hAnsi="Merriweather"/>
          <w:color w:val="000000"/>
        </w:rPr>
        <w:t xml:space="preserve"> oramai prodotto finanziario non</w:t>
      </w:r>
      <w:r>
        <w:rPr>
          <w:rFonts w:ascii="Merriweather" w:hAnsi="Merriweather"/>
          <w:color w:val="000000"/>
        </w:rPr>
        <w:t xml:space="preserve"> solo più semplice bene non fungibile. Approfondimento sul processo.  </w:t>
      </w:r>
      <w:hyperlink r:id="rId5" w:history="1">
        <w:r w:rsidR="00792A51">
          <w:rPr>
            <w:rStyle w:val="Collegamentoipertestuale"/>
            <w:rFonts w:ascii="Merriweather" w:hAnsi="Merriweather"/>
          </w:rPr>
          <w:t>9</w:t>
        </w:r>
      </w:hyperlink>
      <w:r>
        <w:rPr>
          <w:rFonts w:ascii="Merriweather" w:hAnsi="Merriweather"/>
          <w:color w:val="000000"/>
        </w:rPr>
        <w:t xml:space="preserve"> </w:t>
      </w:r>
    </w:p>
    <w:p w14:paraId="619E07FE" w14:textId="77777777" w:rsidR="00505EB4" w:rsidRDefault="00505EB4" w:rsidP="00505EB4">
      <w:pPr>
        <w:rPr>
          <w:rFonts w:ascii="Merriweather" w:hAnsi="Merriweather"/>
          <w:color w:val="000000"/>
        </w:rPr>
      </w:pPr>
    </w:p>
    <w:p w14:paraId="06A59689" w14:textId="77777777" w:rsidR="00505EB4" w:rsidRDefault="00505EB4" w:rsidP="00505EB4">
      <w:pPr>
        <w:rPr>
          <w:rFonts w:ascii="Merriweather" w:hAnsi="Merriweather"/>
          <w:color w:val="000000"/>
        </w:rPr>
      </w:pPr>
      <w:r>
        <w:rPr>
          <w:rFonts w:ascii="Merriweather" w:hAnsi="Merriweather"/>
          <w:color w:val="000000"/>
        </w:rPr>
        <w:t>n secondo luogo, l’importanza di questi derivati ha fatto da </w:t>
      </w:r>
      <w:r>
        <w:rPr>
          <w:rStyle w:val="Enfasigrassetto"/>
          <w:rFonts w:ascii="Merriweather" w:hAnsi="Merriweather"/>
          <w:color w:val="000000"/>
        </w:rPr>
        <w:t>battistrada all’ingresso del settore finanziario</w:t>
      </w:r>
      <w:r>
        <w:rPr>
          <w:rFonts w:ascii="Merriweather" w:hAnsi="Merriweather"/>
          <w:color w:val="000000"/>
        </w:rPr>
        <w:t> (banche d’affari, fondi sovrani, fondi speculativi, fondi pensione etc.) nella gestione dell’agricoltura a livello globale.  A causa dei limiti alla disponibilità di terra e della crescente domanda di cibo da parte della popolazione mondiale, la terra è tornata ad essere un investimento attraente in un’ottica di lungo periodo.</w:t>
      </w:r>
    </w:p>
    <w:p w14:paraId="198CB188" w14:textId="77777777" w:rsidR="00505EB4" w:rsidRDefault="00505EB4" w:rsidP="00505EB4">
      <w:pPr>
        <w:rPr>
          <w:rFonts w:ascii="Merriweather" w:hAnsi="Merriweather"/>
          <w:color w:val="000000"/>
        </w:rPr>
      </w:pPr>
    </w:p>
    <w:p w14:paraId="458364E1" w14:textId="77777777" w:rsidR="00505EB4" w:rsidRDefault="00505EB4" w:rsidP="00505EB4">
      <w:pPr>
        <w:rPr>
          <w:rFonts w:ascii="Merriweather" w:hAnsi="Merriweather"/>
          <w:color w:val="000000"/>
        </w:rPr>
      </w:pPr>
      <w:r>
        <w:rPr>
          <w:rFonts w:ascii="Merriweather" w:hAnsi="Merriweather"/>
          <w:color w:val="000000"/>
        </w:rPr>
        <w:t>Nel 2006 i</w:t>
      </w:r>
      <w:r>
        <w:rPr>
          <w:rStyle w:val="Enfasigrassetto"/>
          <w:rFonts w:ascii="Merriweather" w:hAnsi="Merriweather"/>
          <w:color w:val="000000"/>
        </w:rPr>
        <w:t> prezzi delle maggiori </w:t>
      </w:r>
      <w:r>
        <w:rPr>
          <w:rStyle w:val="Enfasicorsivo"/>
          <w:rFonts w:ascii="Merriweather" w:hAnsi="Merriweather"/>
          <w:b/>
          <w:bCs/>
          <w:color w:val="000000"/>
        </w:rPr>
        <w:t>commodities</w:t>
      </w:r>
      <w:r>
        <w:rPr>
          <w:rStyle w:val="Enfasigrassetto"/>
          <w:rFonts w:ascii="Merriweather" w:hAnsi="Merriweather"/>
          <w:color w:val="000000"/>
        </w:rPr>
        <w:t> agricole</w:t>
      </w:r>
      <w:r>
        <w:rPr>
          <w:rFonts w:ascii="Merriweather" w:hAnsi="Merriweather"/>
          <w:color w:val="000000"/>
        </w:rPr>
        <w:t> (grano, soia, riso, zucchero e olio di palma) hanno subito una </w:t>
      </w:r>
      <w:r>
        <w:rPr>
          <w:rStyle w:val="Enfasigrassetto"/>
          <w:rFonts w:ascii="Merriweather" w:hAnsi="Merriweather"/>
          <w:color w:val="000000"/>
        </w:rPr>
        <w:t>brusca impennata</w:t>
      </w:r>
      <w:r>
        <w:rPr>
          <w:rFonts w:ascii="Merriweather" w:hAnsi="Merriweather"/>
          <w:color w:val="000000"/>
        </w:rPr>
        <w:t> che ha allarmato molti paesi importatori di prodotti alimentari e densamente popolati (Cina, Filippine e alcuni Paesi arabi) spingendoli a riconsiderare le loro politiche agricole. Il rischio di non poter nutrire la popolazione, infatti, non è solo umanitario, ma anche politico, dato il legame osservato storicamente </w:t>
      </w:r>
      <w:hyperlink r:id="rId6" w:history="1">
        <w:r>
          <w:rPr>
            <w:rStyle w:val="Collegamentoipertestuale"/>
            <w:rFonts w:ascii="Merriweather" w:hAnsi="Merriweather"/>
            <w:color w:val="000000"/>
          </w:rPr>
          <w:t>tra aumento del prezzo del cibo e le rivolte popolari</w:t>
        </w:r>
      </w:hyperlink>
      <w:r>
        <w:rPr>
          <w:rFonts w:ascii="Merriweather" w:hAnsi="Merriweather"/>
          <w:color w:val="000000"/>
        </w:rPr>
        <w:t>.</w:t>
      </w:r>
      <w:r>
        <w:rPr>
          <w:rFonts w:ascii="Merriweather" w:hAnsi="Merriweather"/>
          <w:color w:val="000000"/>
        </w:rPr>
        <w:br/>
      </w:r>
      <w:r>
        <w:rPr>
          <w:rFonts w:ascii="Merriweather" w:hAnsi="Merriweather"/>
          <w:color w:val="000000"/>
        </w:rPr>
        <w:br/>
      </w:r>
      <w:r w:rsidRPr="00ED066F">
        <w:rPr>
          <w:rFonts w:ascii="Merriweather" w:hAnsi="Merriweather"/>
          <w:color w:val="000000"/>
        </w:rPr>
        <w:sym w:font="Wingdings" w:char="F0E0"/>
      </w:r>
      <w:r>
        <w:rPr>
          <w:rFonts w:ascii="Merriweather" w:hAnsi="Merriweather"/>
          <w:color w:val="000000"/>
        </w:rPr>
        <w:t xml:space="preserve"> in questa sede ci occuperemo di analizzare il prezzo delle commodities e le sue fluttazioni in base al rischio geopolitico ecc… e non per trading </w:t>
      </w:r>
    </w:p>
    <w:p w14:paraId="5CC1E799" w14:textId="77777777" w:rsidR="00505EB4" w:rsidRDefault="00505EB4" w:rsidP="00505EB4">
      <w:pPr>
        <w:rPr>
          <w:rFonts w:ascii="Merriweather" w:hAnsi="Merriweather"/>
          <w:color w:val="000000"/>
        </w:rPr>
      </w:pPr>
    </w:p>
    <w:p w14:paraId="15DECCF3" w14:textId="77777777" w:rsidR="00505EB4" w:rsidRDefault="005C221F" w:rsidP="00505EB4">
      <w:pPr>
        <w:rPr>
          <w:noProof w:val="0"/>
        </w:rPr>
      </w:pPr>
      <w:hyperlink r:id="rId7" w:history="1">
        <w:r w:rsidR="00505EB4">
          <w:rPr>
            <w:rFonts w:ascii="Segoe UI" w:hAnsi="Segoe UI" w:cs="Segoe UI"/>
            <w:b/>
            <w:bCs/>
            <w:color w:val="007AFF"/>
            <w:shd w:val="clear" w:color="auto" w:fill="FFFFFF"/>
          </w:rPr>
          <w:br/>
        </w:r>
        <w:r w:rsidR="00505EB4">
          <w:rPr>
            <w:rStyle w:val="Collegamentoipertestuale"/>
            <w:rFonts w:ascii="Segoe UI" w:hAnsi="Segoe UI" w:cs="Segoe UI"/>
            <w:b/>
            <w:bCs/>
            <w:color w:val="007AFF"/>
            <w:shd w:val="clear" w:color="auto" w:fill="FFFFFF"/>
          </w:rPr>
          <w:t>ETFplus</w:t>
        </w:r>
        <w:r w:rsidR="00505EB4">
          <w:rPr>
            <w:rStyle w:val="Collegamentoipertestuale"/>
            <w:rFonts w:ascii="Segoe UI" w:hAnsi="Segoe UI" w:cs="Segoe UI"/>
            <w:color w:val="007AFF"/>
            <w:shd w:val="clear" w:color="auto" w:fill="FFFFFF"/>
          </w:rPr>
          <w:t>,</w:t>
        </w:r>
      </w:hyperlink>
      <w:r w:rsidR="00505EB4">
        <w:rPr>
          <w:rFonts w:ascii="Segoe UI" w:hAnsi="Segoe UI" w:cs="Segoe UI"/>
          <w:color w:val="252631"/>
          <w:shd w:val="clear" w:color="auto" w:fill="FFFFFF"/>
        </w:rPr>
        <w:t> mercato regolamentato dedicato alla negoziazione in tempo reale degli strumenti che replicano l’andamento di indici e di singole materie prime (ETF, ETF strutturati, ETF a gestione attiva, ETC/ETN). La gamma di commodity replicata dagli </w:t>
      </w:r>
      <w:hyperlink r:id="rId8" w:history="1">
        <w:r w:rsidR="00505EB4">
          <w:rPr>
            <w:rStyle w:val="Enfasigrassetto"/>
            <w:rFonts w:ascii="Segoe UI" w:hAnsi="Segoe UI" w:cs="Segoe UI"/>
            <w:color w:val="007AFF"/>
            <w:shd w:val="clear" w:color="auto" w:fill="FFFFFF"/>
          </w:rPr>
          <w:t>ETC</w:t>
        </w:r>
        <w:r w:rsidR="00505EB4">
          <w:rPr>
            <w:rStyle w:val="Collegamentoipertestuale"/>
            <w:rFonts w:ascii="Segoe UI" w:hAnsi="Segoe UI" w:cs="Segoe UI"/>
            <w:color w:val="007AFF"/>
            <w:shd w:val="clear" w:color="auto" w:fill="FFFFFF"/>
          </w:rPr>
          <w:t> </w:t>
        </w:r>
      </w:hyperlink>
      <w:r w:rsidR="00505EB4">
        <w:rPr>
          <w:rFonts w:ascii="Segoe UI" w:hAnsi="Segoe UI" w:cs="Segoe UI"/>
          <w:color w:val="252631"/>
          <w:shd w:val="clear" w:color="auto" w:fill="FFFFFF"/>
        </w:rPr>
        <w:t>è molto ampia e non si limita alle singole materie prime, ma si estende ai loro indici, sotto-indici e indici forward. Tutto ciò permette al risparmiatore, a seconda delle sue aspettative e della sua propensione al rischio, sia di scommettere sull’andamento positivo di una singola materia prima, sia di ottenere una posizione ben diversificata su un paniere di  acquistando ETC su:</w:t>
      </w:r>
    </w:p>
    <w:p w14:paraId="1F693D21" w14:textId="77777777" w:rsidR="00505EB4" w:rsidRDefault="00505EB4" w:rsidP="00505EB4">
      <w:pPr>
        <w:numPr>
          <w:ilvl w:val="0"/>
          <w:numId w:val="1"/>
        </w:numPr>
        <w:shd w:val="clear" w:color="auto" w:fill="FFFFFF"/>
        <w:spacing w:before="100" w:beforeAutospacing="1" w:after="100" w:afterAutospacing="1" w:line="240" w:lineRule="auto"/>
        <w:rPr>
          <w:rFonts w:ascii="Segoe UI" w:hAnsi="Segoe UI" w:cs="Segoe UI"/>
          <w:color w:val="252631"/>
        </w:rPr>
      </w:pPr>
      <w:r>
        <w:rPr>
          <w:rFonts w:ascii="Segoe UI" w:hAnsi="Segoe UI" w:cs="Segoe UI"/>
          <w:color w:val="252631"/>
        </w:rPr>
        <w:t>singole materie prime (Alluminio, Caffè, Rame, Granoturco, Cotone, Benzina, Oro, Olio Combustibile, Petrolio Brent, Petrolio Wti, Suini Magri, Bestiame Vivo, Gas Naturale, Nickel, Argento, Olio di Semi di Soia, Semi di Soia, Zucchero, Platino, Palladio, Frumento, Zinco, Piombo, Stagno e Cacao);</w:t>
      </w:r>
    </w:p>
    <w:p w14:paraId="235ACCF8" w14:textId="77777777" w:rsidR="00505EB4" w:rsidRDefault="00505EB4" w:rsidP="00505EB4">
      <w:pPr>
        <w:numPr>
          <w:ilvl w:val="0"/>
          <w:numId w:val="1"/>
        </w:numPr>
        <w:shd w:val="clear" w:color="auto" w:fill="FFFFFF"/>
        <w:spacing w:before="100" w:beforeAutospacing="1" w:after="100" w:afterAutospacing="1" w:line="240" w:lineRule="auto"/>
        <w:rPr>
          <w:rFonts w:ascii="Segoe UI" w:hAnsi="Segoe UI" w:cs="Segoe UI"/>
          <w:color w:val="252631"/>
        </w:rPr>
      </w:pPr>
      <w:r>
        <w:rPr>
          <w:rFonts w:ascii="Segoe UI" w:hAnsi="Segoe UI" w:cs="Segoe UI"/>
          <w:color w:val="252631"/>
        </w:rPr>
        <w:t>indici legati a panieri omogenei di merci (Prodotti Agricoli, Energia, Cereali, Metalli Industriali, Bestiame, Petrolio, Metalli Preziosi, ecc.);</w:t>
      </w:r>
    </w:p>
    <w:p w14:paraId="6D75FF7D" w14:textId="77777777" w:rsidR="00505EB4" w:rsidRDefault="00505EB4" w:rsidP="00505EB4">
      <w:pPr>
        <w:numPr>
          <w:ilvl w:val="0"/>
          <w:numId w:val="1"/>
        </w:numPr>
        <w:shd w:val="clear" w:color="auto" w:fill="FFFFFF"/>
        <w:spacing w:before="100" w:beforeAutospacing="1" w:after="100" w:afterAutospacing="1" w:line="240" w:lineRule="auto"/>
        <w:rPr>
          <w:rFonts w:ascii="Segoe UI" w:hAnsi="Segoe UI" w:cs="Segoe UI"/>
          <w:color w:val="252631"/>
        </w:rPr>
      </w:pPr>
      <w:r>
        <w:rPr>
          <w:rFonts w:ascii="Segoe UI" w:hAnsi="Segoe UI" w:cs="Segoe UI"/>
          <w:color w:val="252631"/>
        </w:rPr>
        <w:t>indici globali di commodity;</w:t>
      </w:r>
    </w:p>
    <w:p w14:paraId="62D73D7E" w14:textId="77777777" w:rsidR="00505EB4" w:rsidRDefault="00505EB4" w:rsidP="00505EB4">
      <w:pPr>
        <w:numPr>
          <w:ilvl w:val="0"/>
          <w:numId w:val="1"/>
        </w:numPr>
        <w:shd w:val="clear" w:color="auto" w:fill="FFFFFF"/>
        <w:spacing w:before="100" w:beforeAutospacing="1" w:after="100" w:afterAutospacing="1" w:line="240" w:lineRule="auto"/>
        <w:rPr>
          <w:rFonts w:ascii="Segoe UI" w:hAnsi="Segoe UI" w:cs="Segoe UI"/>
          <w:color w:val="252631"/>
        </w:rPr>
      </w:pPr>
      <w:r>
        <w:rPr>
          <w:rFonts w:ascii="Segoe UI" w:hAnsi="Segoe UI" w:cs="Segoe UI"/>
          <w:color w:val="252631"/>
        </w:rPr>
        <w:t>indici forward di commodity.</w:t>
      </w:r>
    </w:p>
    <w:p w14:paraId="765EF7F1" w14:textId="77777777" w:rsidR="00505EB4" w:rsidRPr="00590F58" w:rsidRDefault="00505EB4" w:rsidP="00505EB4">
      <w:pPr>
        <w:shd w:val="clear" w:color="auto" w:fill="FFFFFF"/>
        <w:spacing w:before="240" w:after="0"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e Commodity intese come asset class rappresentano un gruppo molto eterogeneo di beni, con destinazioni d’uso differenti, specificità e qualità differenti, diversa capacità di stoccaggio e diversa intensità di rinnovabilità. Possono essere classificate in due macro-categorie: Soft Commodity, Hard Commodity.</w:t>
      </w:r>
      <w:r w:rsidRPr="00590F58">
        <w:rPr>
          <w:rFonts w:ascii="Segoe UI" w:eastAsia="Times New Roman" w:hAnsi="Segoe UI" w:cs="Segoe UI"/>
          <w:noProof w:val="0"/>
          <w:color w:val="252631"/>
          <w:sz w:val="24"/>
          <w:szCs w:val="24"/>
          <w:lang w:eastAsia="it-IT"/>
        </w:rPr>
        <w:br/>
      </w:r>
      <w:r w:rsidRPr="00590F58">
        <w:rPr>
          <w:rFonts w:ascii="Segoe UI" w:eastAsia="Times New Roman" w:hAnsi="Segoe UI" w:cs="Segoe UI"/>
          <w:noProof w:val="0"/>
          <w:color w:val="252631"/>
          <w:sz w:val="24"/>
          <w:szCs w:val="24"/>
          <w:lang w:eastAsia="it-IT"/>
        </w:rPr>
        <w:br/>
        <w:t>Appartengono alla </w:t>
      </w:r>
      <w:r w:rsidRPr="00590F58">
        <w:rPr>
          <w:rFonts w:ascii="Segoe UI" w:eastAsia="Times New Roman" w:hAnsi="Segoe UI" w:cs="Segoe UI"/>
          <w:b/>
          <w:bCs/>
          <w:noProof w:val="0"/>
          <w:color w:val="252631"/>
          <w:sz w:val="24"/>
          <w:szCs w:val="24"/>
          <w:lang w:eastAsia="it-IT"/>
        </w:rPr>
        <w:t>categoria Soft</w:t>
      </w:r>
      <w:r w:rsidRPr="00590F58">
        <w:rPr>
          <w:rFonts w:ascii="Segoe UI" w:eastAsia="Times New Roman" w:hAnsi="Segoe UI" w:cs="Segoe UI"/>
          <w:noProof w:val="0"/>
          <w:color w:val="252631"/>
          <w:sz w:val="24"/>
          <w:szCs w:val="24"/>
          <w:lang w:eastAsia="it-IT"/>
        </w:rPr>
        <w:t> le commodity derivanti dal settore agricolo e dall’allevamento, suddivisibili in:</w:t>
      </w:r>
    </w:p>
    <w:p w14:paraId="345ACB58" w14:textId="77777777" w:rsidR="00505EB4" w:rsidRPr="00590F58" w:rsidRDefault="00505EB4" w:rsidP="00505EB4">
      <w:pPr>
        <w:numPr>
          <w:ilvl w:val="0"/>
          <w:numId w:val="2"/>
        </w:numPr>
        <w:shd w:val="clear" w:color="auto" w:fill="FFFFFF"/>
        <w:spacing w:before="100" w:beforeAutospacing="1" w:after="100" w:afterAutospacing="1"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beni agricoli: avena, farina di soia, frumento, mais, olio di soia, soia, cacao, caffè, cotone, legname, succo d'arancia, tabacco, zucchero.</w:t>
      </w:r>
    </w:p>
    <w:p w14:paraId="1A37ACF0" w14:textId="77777777" w:rsidR="00505EB4" w:rsidRPr="00590F58" w:rsidRDefault="00505EB4" w:rsidP="00505EB4">
      <w:pPr>
        <w:numPr>
          <w:ilvl w:val="0"/>
          <w:numId w:val="2"/>
        </w:numPr>
        <w:shd w:val="clear" w:color="auto" w:fill="FFFFFF"/>
        <w:spacing w:before="100" w:beforeAutospacing="1" w:after="100" w:afterAutospacing="1"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carni: bovini, bovini da latte, maiali, pancetta di maiale.</w:t>
      </w:r>
    </w:p>
    <w:p w14:paraId="64F22EFA" w14:textId="77777777" w:rsidR="00505EB4" w:rsidRPr="00590F58" w:rsidRDefault="00505EB4" w:rsidP="00505EB4">
      <w:pPr>
        <w:shd w:val="clear" w:color="auto" w:fill="FFFFFF"/>
        <w:spacing w:before="240" w:after="0"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Appartengono alla </w:t>
      </w:r>
      <w:r w:rsidRPr="00590F58">
        <w:rPr>
          <w:rFonts w:ascii="Segoe UI" w:eastAsia="Times New Roman" w:hAnsi="Segoe UI" w:cs="Segoe UI"/>
          <w:b/>
          <w:bCs/>
          <w:noProof w:val="0"/>
          <w:color w:val="252631"/>
          <w:sz w:val="24"/>
          <w:szCs w:val="24"/>
          <w:lang w:eastAsia="it-IT"/>
        </w:rPr>
        <w:t>categoria Hard</w:t>
      </w:r>
      <w:r w:rsidRPr="00590F58">
        <w:rPr>
          <w:rFonts w:ascii="Segoe UI" w:eastAsia="Times New Roman" w:hAnsi="Segoe UI" w:cs="Segoe UI"/>
          <w:noProof w:val="0"/>
          <w:color w:val="252631"/>
          <w:sz w:val="24"/>
          <w:szCs w:val="24"/>
          <w:lang w:eastAsia="it-IT"/>
        </w:rPr>
        <w:t> le commodity del settore energetico, dei metalli preziosi e di quelli industriali.  Si possono poi suddividere in:</w:t>
      </w:r>
    </w:p>
    <w:p w14:paraId="3A012B13" w14:textId="77777777" w:rsidR="00505EB4" w:rsidRPr="00590F58" w:rsidRDefault="00505EB4" w:rsidP="00505EB4">
      <w:pPr>
        <w:numPr>
          <w:ilvl w:val="0"/>
          <w:numId w:val="3"/>
        </w:numPr>
        <w:shd w:val="clear" w:color="auto" w:fill="FFFFFF"/>
        <w:spacing w:before="100" w:beforeAutospacing="1" w:after="100" w:afterAutospacing="1"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metalli preziosi: oro, platino, argento, palladio;</w:t>
      </w:r>
    </w:p>
    <w:p w14:paraId="59DE5436" w14:textId="77777777" w:rsidR="00505EB4" w:rsidRPr="00590F58" w:rsidRDefault="00505EB4" w:rsidP="00505EB4">
      <w:pPr>
        <w:numPr>
          <w:ilvl w:val="0"/>
          <w:numId w:val="3"/>
        </w:numPr>
        <w:shd w:val="clear" w:color="auto" w:fill="FFFFFF"/>
        <w:spacing w:before="100" w:beforeAutospacing="1" w:after="100" w:afterAutospacing="1"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metalli: alluminio, cobalto, nickel, rame, zinco, molibdeno, acciaio, stagno;</w:t>
      </w:r>
    </w:p>
    <w:p w14:paraId="4151936E" w14:textId="77777777" w:rsidR="00505EB4" w:rsidRPr="00590F58" w:rsidRDefault="00505EB4" w:rsidP="00505EB4">
      <w:pPr>
        <w:numPr>
          <w:ilvl w:val="0"/>
          <w:numId w:val="3"/>
        </w:numPr>
        <w:shd w:val="clear" w:color="auto" w:fill="FFFFFF"/>
        <w:spacing w:before="100" w:beforeAutospacing="1" w:after="100" w:afterAutospacing="1"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energetici: benzina, etanolo, gas naturale, nafta, petrolio, propano;</w:t>
      </w:r>
    </w:p>
    <w:p w14:paraId="7191A771" w14:textId="77777777" w:rsidR="00505EB4" w:rsidRPr="00590F58" w:rsidRDefault="00505EB4" w:rsidP="00505EB4">
      <w:pPr>
        <w:numPr>
          <w:ilvl w:val="0"/>
          <w:numId w:val="3"/>
        </w:numPr>
        <w:shd w:val="clear" w:color="auto" w:fill="FFFFFF"/>
        <w:spacing w:before="100" w:beforeAutospacing="1" w:after="100" w:afterAutospacing="1"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energia elettrica.</w:t>
      </w:r>
    </w:p>
    <w:p w14:paraId="7BD19B00" w14:textId="77777777" w:rsidR="00505EB4" w:rsidRPr="00590F58" w:rsidRDefault="00505EB4" w:rsidP="00505EB4">
      <w:pPr>
        <w:shd w:val="clear" w:color="auto" w:fill="FFFFFF"/>
        <w:spacing w:before="240" w:after="0"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L’energia elettrica presenta tuttavia delle peculiarità rispetto alle altre commodity:</w:t>
      </w:r>
    </w:p>
    <w:p w14:paraId="33344011" w14:textId="77777777" w:rsidR="00505EB4" w:rsidRPr="00590F58" w:rsidRDefault="00505EB4" w:rsidP="00505EB4">
      <w:pPr>
        <w:numPr>
          <w:ilvl w:val="0"/>
          <w:numId w:val="4"/>
        </w:numPr>
        <w:shd w:val="clear" w:color="auto" w:fill="FFFFFF"/>
        <w:spacing w:before="100" w:beforeAutospacing="1" w:after="100" w:afterAutospacing="1"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deriva da altre fonti di energia primaria;</w:t>
      </w:r>
    </w:p>
    <w:p w14:paraId="768AA9C2" w14:textId="77777777" w:rsidR="00505EB4" w:rsidRPr="00590F58" w:rsidRDefault="00505EB4" w:rsidP="00505EB4">
      <w:pPr>
        <w:numPr>
          <w:ilvl w:val="0"/>
          <w:numId w:val="4"/>
        </w:numPr>
        <w:shd w:val="clear" w:color="auto" w:fill="FFFFFF"/>
        <w:spacing w:before="100" w:beforeAutospacing="1" w:after="100" w:afterAutospacing="1"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deve essere utilizzata immediatamente;</w:t>
      </w:r>
    </w:p>
    <w:p w14:paraId="409F72A9" w14:textId="77777777" w:rsidR="00505EB4" w:rsidRPr="00590F58" w:rsidRDefault="00505EB4" w:rsidP="00505EB4">
      <w:pPr>
        <w:numPr>
          <w:ilvl w:val="0"/>
          <w:numId w:val="4"/>
        </w:numPr>
        <w:shd w:val="clear" w:color="auto" w:fill="FFFFFF"/>
        <w:spacing w:before="100" w:beforeAutospacing="1" w:after="100" w:afterAutospacing="1" w:line="240" w:lineRule="auto"/>
        <w:rPr>
          <w:rFonts w:ascii="Segoe UI" w:eastAsia="Times New Roman" w:hAnsi="Segoe UI" w:cs="Segoe UI"/>
          <w:noProof w:val="0"/>
          <w:color w:val="252631"/>
          <w:sz w:val="24"/>
          <w:szCs w:val="24"/>
          <w:lang w:eastAsia="it-IT"/>
        </w:rPr>
      </w:pPr>
      <w:r w:rsidRPr="00590F58">
        <w:rPr>
          <w:rFonts w:ascii="Segoe UI" w:eastAsia="Times New Roman" w:hAnsi="Segoe UI" w:cs="Segoe UI"/>
          <w:noProof w:val="0"/>
          <w:color w:val="252631"/>
          <w:sz w:val="24"/>
          <w:szCs w:val="24"/>
          <w:lang w:eastAsia="it-IT"/>
        </w:rPr>
        <w:t>l’immagazzinamento e il trasporto comportano elevati costi e sprechi.</w:t>
      </w:r>
    </w:p>
    <w:p w14:paraId="3FFE888C" w14:textId="77777777" w:rsidR="00505EB4" w:rsidRDefault="00505EB4" w:rsidP="00505EB4">
      <w:pPr>
        <w:rPr>
          <w:rFonts w:ascii="Merriweather" w:hAnsi="Merriweather"/>
          <w:color w:val="000000"/>
        </w:rPr>
      </w:pPr>
    </w:p>
    <w:p w14:paraId="22C943D2" w14:textId="77777777" w:rsidR="00505EB4" w:rsidRDefault="00505EB4" w:rsidP="00505EB4">
      <w:pPr>
        <w:rPr>
          <w:rFonts w:ascii="Merriweather" w:hAnsi="Merriweather"/>
          <w:color w:val="000000"/>
        </w:rPr>
      </w:pPr>
      <w:r>
        <w:rPr>
          <w:rFonts w:ascii="Merriweather" w:hAnsi="Merriweather"/>
          <w:color w:val="000000"/>
        </w:rPr>
        <w:t xml:space="preserve">COS’E’ IL RISCHIO DI MERCATO, QUALI RISCHI CI SONO. </w:t>
      </w:r>
    </w:p>
    <w:p w14:paraId="1E3B846A" w14:textId="77777777" w:rsidR="00505EB4" w:rsidRDefault="00505EB4" w:rsidP="00505EB4">
      <w:pPr>
        <w:rPr>
          <w:rFonts w:ascii="Merriweather" w:hAnsi="Merriweather"/>
          <w:color w:val="000000"/>
        </w:rPr>
      </w:pPr>
    </w:p>
    <w:p w14:paraId="6C53A807" w14:textId="77777777" w:rsidR="00505EB4" w:rsidRPr="00652164" w:rsidRDefault="00505EB4" w:rsidP="00505EB4"/>
    <w:p w14:paraId="0E62E4DC" w14:textId="02F28FE3" w:rsidR="00026AA9" w:rsidRDefault="00026AA9" w:rsidP="00CC3897"/>
    <w:sectPr w:rsidR="00026AA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rriweather">
    <w:charset w:val="00"/>
    <w:family w:val="auto"/>
    <w:pitch w:val="variable"/>
    <w:sig w:usb0="20000207" w:usb1="00000002"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687401"/>
    <w:multiLevelType w:val="multilevel"/>
    <w:tmpl w:val="3B4E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570CB6"/>
    <w:multiLevelType w:val="multilevel"/>
    <w:tmpl w:val="946A5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690372"/>
    <w:multiLevelType w:val="multilevel"/>
    <w:tmpl w:val="B0BC9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534582"/>
    <w:multiLevelType w:val="multilevel"/>
    <w:tmpl w:val="7DEAE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7906880">
    <w:abstractNumId w:val="0"/>
  </w:num>
  <w:num w:numId="2" w16cid:durableId="419061441">
    <w:abstractNumId w:val="3"/>
  </w:num>
  <w:num w:numId="3" w16cid:durableId="1867404136">
    <w:abstractNumId w:val="2"/>
  </w:num>
  <w:num w:numId="4" w16cid:durableId="1367827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897"/>
    <w:rsid w:val="00026AA9"/>
    <w:rsid w:val="00493572"/>
    <w:rsid w:val="00505EB4"/>
    <w:rsid w:val="00530D7B"/>
    <w:rsid w:val="005578C6"/>
    <w:rsid w:val="00590F58"/>
    <w:rsid w:val="005C221F"/>
    <w:rsid w:val="00652164"/>
    <w:rsid w:val="00725BD7"/>
    <w:rsid w:val="00792A51"/>
    <w:rsid w:val="0092158A"/>
    <w:rsid w:val="00CC3897"/>
    <w:rsid w:val="00ED066F"/>
    <w:rsid w:val="00EF2DEA"/>
    <w:rsid w:val="00FF34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80FE1"/>
  <w15:chartTrackingRefBased/>
  <w15:docId w15:val="{7D402EAE-1F6C-4374-BC94-80AAF1A2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noProo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CC3897"/>
    <w:pPr>
      <w:spacing w:before="100" w:beforeAutospacing="1" w:after="100" w:afterAutospacing="1" w:line="240" w:lineRule="auto"/>
    </w:pPr>
    <w:rPr>
      <w:rFonts w:ascii="Times New Roman" w:eastAsia="Times New Roman" w:hAnsi="Times New Roman" w:cs="Times New Roman"/>
      <w:noProof w:val="0"/>
      <w:sz w:val="24"/>
      <w:szCs w:val="24"/>
      <w:lang w:eastAsia="it-IT"/>
    </w:rPr>
  </w:style>
  <w:style w:type="character" w:styleId="Enfasigrassetto">
    <w:name w:val="Strong"/>
    <w:basedOn w:val="Carpredefinitoparagrafo"/>
    <w:uiPriority w:val="22"/>
    <w:qFormat/>
    <w:rsid w:val="00026AA9"/>
    <w:rPr>
      <w:b/>
      <w:bCs/>
    </w:rPr>
  </w:style>
  <w:style w:type="character" w:styleId="Enfasicorsivo">
    <w:name w:val="Emphasis"/>
    <w:basedOn w:val="Carpredefinitoparagrafo"/>
    <w:uiPriority w:val="20"/>
    <w:qFormat/>
    <w:rsid w:val="00026AA9"/>
    <w:rPr>
      <w:i/>
      <w:iCs/>
    </w:rPr>
  </w:style>
  <w:style w:type="character" w:styleId="Collegamentoipertestuale">
    <w:name w:val="Hyperlink"/>
    <w:basedOn w:val="Carpredefinitoparagrafo"/>
    <w:uiPriority w:val="99"/>
    <w:unhideWhenUsed/>
    <w:rsid w:val="00ED066F"/>
    <w:rPr>
      <w:color w:val="0563C1" w:themeColor="hyperlink"/>
      <w:u w:val="single"/>
    </w:rPr>
  </w:style>
  <w:style w:type="character" w:styleId="Menzionenonrisolta">
    <w:name w:val="Unresolved Mention"/>
    <w:basedOn w:val="Carpredefinitoparagrafo"/>
    <w:uiPriority w:val="99"/>
    <w:semiHidden/>
    <w:unhideWhenUsed/>
    <w:rsid w:val="00ED0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60715">
      <w:bodyDiv w:val="1"/>
      <w:marLeft w:val="0"/>
      <w:marRight w:val="0"/>
      <w:marTop w:val="0"/>
      <w:marBottom w:val="0"/>
      <w:divBdr>
        <w:top w:val="none" w:sz="0" w:space="0" w:color="auto"/>
        <w:left w:val="none" w:sz="0" w:space="0" w:color="auto"/>
        <w:bottom w:val="none" w:sz="0" w:space="0" w:color="auto"/>
        <w:right w:val="none" w:sz="0" w:space="0" w:color="auto"/>
      </w:divBdr>
    </w:div>
    <w:div w:id="424231052">
      <w:bodyDiv w:val="1"/>
      <w:marLeft w:val="0"/>
      <w:marRight w:val="0"/>
      <w:marTop w:val="0"/>
      <w:marBottom w:val="0"/>
      <w:divBdr>
        <w:top w:val="none" w:sz="0" w:space="0" w:color="auto"/>
        <w:left w:val="none" w:sz="0" w:space="0" w:color="auto"/>
        <w:bottom w:val="none" w:sz="0" w:space="0" w:color="auto"/>
        <w:right w:val="none" w:sz="0" w:space="0" w:color="auto"/>
      </w:divBdr>
    </w:div>
    <w:div w:id="68984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rsaitaliana.it/etc-etn/etc-etn/home.htm" TargetMode="External"/><Relationship Id="rId3" Type="http://schemas.openxmlformats.org/officeDocument/2006/relationships/settings" Target="settings.xml"/><Relationship Id="rId7" Type="http://schemas.openxmlformats.org/officeDocument/2006/relationships/hyperlink" Target="https://www.borsaitaliana.it/etf/etf/hom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echnologyreview.com/view/425019/the-cause-of-riots-and-the-price-of-food/" TargetMode="External"/><Relationship Id="rId5" Type="http://schemas.openxmlformats.org/officeDocument/2006/relationships/hyperlink" Target="https://ilcaffegeopolitico.net/28878/il-mercato-delle-commodities-e-gli-intrecci-con-la-finanza-global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402</TotalTime>
  <Pages>1</Pages>
  <Words>1057</Words>
  <Characters>6031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 Rossini</dc:creator>
  <cp:keywords/>
  <dc:description/>
  <cp:lastModifiedBy>Fabrizio Rossini</cp:lastModifiedBy>
  <cp:revision>8</cp:revision>
  <dcterms:created xsi:type="dcterms:W3CDTF">2022-02-07T14:46:00Z</dcterms:created>
  <dcterms:modified xsi:type="dcterms:W3CDTF">2022-04-14T16:38:00Z</dcterms:modified>
</cp:coreProperties>
</file>